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360" w:lineRule="auto"/>
        <w:ind w:left="14" w:right="0" w:firstLine="0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1. IDENTYFIKACJA MIESZANINY I IDENTYFIKACJA PRZEDSIĘBIORSTWA</w:t>
      </w:r>
    </w:p>
    <w:p w:rsidR="00000000" w:rsidDel="00000000" w:rsidP="00000000" w:rsidRDefault="00000000" w:rsidRPr="00000000" w14:paraId="00000002">
      <w:pPr>
        <w:spacing w:line="360" w:lineRule="auto"/>
        <w:ind w:left="-14" w:right="0" w:firstLine="0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1.1.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Identyfikator produktu: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left="-14" w:right="0" w:firstLine="0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Nazwa handlowa: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  Gołąb atomizer 500ml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1.2. Istotne zidentyfikowane zastosowanie mieszaniny oraz zastosowanie odradzane: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Zastosowanie zidentyfikowane: Atomizer na ptaki ogranicza bytowanie w miejscach jego aplikacji, np. okna, parapety, dachy, chodniki, gzymsy. 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Zastosowanie odradzane: nie określono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1.3. Dane dotyczące dostawcy karty charakterystyki: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Instytut Wdrożeń Przemysłowych sp. z o.o.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ul. Kazimierza Wielkiego 21c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67-400 Wschowa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e-mail: biuroinstytutwp@gmail.com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1.4. Numer telefonu alarmowego: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112 – telefon alarmowy centrum powiadomienia ratunkowego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Adresy ośrodków toksykologicznych w Polsce zamieszczono w sekcji 16 karty.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0"/>
          <w:szCs w:val="20"/>
          <w:rtl w:val="0"/>
        </w:rPr>
        <w:t xml:space="preserve">SEKCJA 2. IDENTYFIKACJA ZAGROŻEŃ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u w:val="single"/>
          <w:rtl w:val="0"/>
        </w:rPr>
        <w:t xml:space="preserve">2.1. Klasyfikacja mieszaniny: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u w:val="single"/>
          <w:rtl w:val="0"/>
        </w:rPr>
        <w:t xml:space="preserve">  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0"/>
          <w:szCs w:val="20"/>
          <w:rtl w:val="0"/>
        </w:rPr>
        <w:t xml:space="preserve">               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Zagrożenia fizykochemiczne: brak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Zagrożenie zdrowia: brak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Zagrożenie środowiska: brak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2.2.Elementy oznakowania: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Piktogramy określające rodzaj zagrożenia i hasło ostrzegawcze  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Zwroty wskazujące rodzaj zagrożenia: 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Zwroty określające warunki bezpiecznego stosowania: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P102 CHRONIĆ PRZED DZIEĆMI.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P302+P352 W przypadku kontaktu ze skórą: umyć wodą z mydłem.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P305+P351+P338 W przypadku dostania się do oczu: ostrożnie płukać wodą przez kilka minut. Wyjąć soczewki jeśli są i można je łatwo usunąć. Nadal płukać.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P501 Zawartość/pojemnik usuwać do odpowiednio oznakowanych pojemników na odpady zgodnie z krajowymi przepisami.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2.3. Inne zagrożenia: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color w:val="000000"/>
          <w:sz w:val="20"/>
          <w:szCs w:val="20"/>
          <w:rtl w:val="0"/>
        </w:rPr>
        <w:t xml:space="preserve">komponenty produktu nie spełniają kryteriów substancji PBT lub vPvB zgodnie z załącznikiem XIII rozporządzenia REACH. Produkt nie zawiera składników wpisanych do wykazu ustanowionego zgodnie z art. 59 ust. 1 jako posiadające właściwości zaburzające funkcjonowanie układu hormonalnego ani składników o właściwościach zaburzających funkcjonowanie układu hormonalnego zgodnie z kryteriami określonymi w rozporządzeniu 2017/2100/UE lub rozporządzeniu 2018/605/UE w stężeniu równym lub większym od 0,1%.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Arial" w:cs="Arial" w:eastAsia="Arial" w:hAnsi="Arial"/>
          <w:b w:val="0"/>
          <w:bCs w:val="0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3. SKŁAD/ INFORMACJA O SKŁADNIKACH: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3.1. Substancje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nie dotyczy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3.2. Mieszaniny:</w:t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) olejek miętowy</w:t>
        <w:tab/>
        <w:t xml:space="preserve">Zawartość: </w:t>
        <w:tab/>
        <w:tab/>
        <w:tab/>
        <w:t xml:space="preserve">mniej niż 9%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  <w:tab/>
        <w:tab/>
        <w:tab/>
        <w:t xml:space="preserve">Numer CAS/ WE/ Indeksowy: </w:t>
        <w:tab/>
        <w:t xml:space="preserve">90064-00-9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/ 290-061-1 / brak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  <w:tab/>
        <w:tab/>
        <w:tab/>
        <w:t xml:space="preserve">Klasyfikacja CLP:  </w:t>
        <w:tab/>
        <w:tab/>
        <w:t xml:space="preserve">Acute Tox. 4, H302, H317; Aquatic Chronic 3, H412 </w:t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2) woda   </w:t>
        <w:tab/>
        <w:tab/>
        <w:t xml:space="preserve">Zawartość:</w:t>
        <w:tab/>
        <w:tab/>
        <w:tab/>
        <w:t xml:space="preserve">91%</w:t>
      </w:r>
    </w:p>
    <w:p w:rsidR="00000000" w:rsidDel="00000000" w:rsidP="00000000" w:rsidRDefault="00000000" w:rsidRPr="00000000" w14:paraId="00000026">
      <w:pPr>
        <w:tabs>
          <w:tab w:val="left" w:leader="none" w:pos="426"/>
        </w:tabs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Pozostałe składniki nie są klasyfikowane jako niebezpieczne lub nie spełniają kryteriów zawartości w mieszaninie. Pełne znaczenie oznaczeń i zwrotów podano w sekcji 16.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426"/>
        </w:tabs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ab/>
        <w:tab/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4.ŚRODKI PIERWSZEJ POMOCY: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4.1. Opis środków pierwszej pomocy</w:t>
      </w:r>
    </w:p>
    <w:p w:rsidR="00000000" w:rsidDel="00000000" w:rsidP="00000000" w:rsidRDefault="00000000" w:rsidRPr="00000000" w14:paraId="0000002A">
      <w:pPr>
        <w:widowControl w:val="0"/>
        <w:ind w:left="0" w:right="0" w:firstLine="0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Osobie udzielającej pomocy pokaż etykietę produktu lub kartę charakterystyki. Osobę poszkodowaną zawsze wyprowadzić ze strefy zagrożenia. Nieprzytomnej osobie nie podawać nic doustnie. </w:t>
      </w:r>
    </w:p>
    <w:p w:rsidR="00000000" w:rsidDel="00000000" w:rsidP="00000000" w:rsidRDefault="00000000" w:rsidRPr="00000000" w14:paraId="0000002B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highlight w:val="white"/>
          <w:rtl w:val="0"/>
        </w:rPr>
        <w:t xml:space="preserve">NARAŻENIE INHALACYJNE: Unikać wdychania rozpylonej cieczy. Poszkodowanego wyprowadzić na świeże powietrze, chronić przed utratą ciepła. Jeśli oddychanie jest utrudnione zastosować wspomaganie oddychania i natychmiast wezwać lekarza.</w:t>
      </w:r>
    </w:p>
    <w:p w:rsidR="00000000" w:rsidDel="00000000" w:rsidP="00000000" w:rsidRDefault="00000000" w:rsidRPr="00000000" w14:paraId="0000002C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highlight w:val="white"/>
          <w:rtl w:val="0"/>
        </w:rPr>
        <w:t xml:space="preserve">NARAŻENIE OKA: Przemywać oczy dużą ilością wody co najmniej 15 minut przy odwiniętych powiekach (unikać silnego strumienia wody). Jeżeli ból i zaczerwienienie oczu będzie się utrzymywać, natychmiast zapewnić konsultację lekarza okulisty.</w:t>
      </w:r>
    </w:p>
    <w:p w:rsidR="00000000" w:rsidDel="00000000" w:rsidP="00000000" w:rsidRDefault="00000000" w:rsidRPr="00000000" w14:paraId="0000002D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highlight w:val="white"/>
          <w:rtl w:val="0"/>
        </w:rPr>
        <w:t xml:space="preserve">NARAŻENIE SKÓRY: Zdjąć zanieczyszczoną odzież, przemywać skórę wodą z mydłem. Odzież przed ponownym użyciem wyprać. Skonsultować się z lekarzem w przypadku wystąpienia niepokojących objawów.</w:t>
      </w:r>
    </w:p>
    <w:p w:rsidR="00000000" w:rsidDel="00000000" w:rsidP="00000000" w:rsidRDefault="00000000" w:rsidRPr="00000000" w14:paraId="0000002E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highlight w:val="white"/>
          <w:rtl w:val="0"/>
        </w:rPr>
        <w:t xml:space="preserve">NARAŻENIE POPRZEZ DROGĘ POKARMOWĄ: W razie połknięcia nie wywoływać wymiotów b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ez konsultacji medycznej, zapewnić spokój. Wezwać pomoc medyczną.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4.2. Najważniejsze ostre i opóźnione objawy oraz skutki narażenia:</w:t>
      </w:r>
    </w:p>
    <w:p w:rsidR="00000000" w:rsidDel="00000000" w:rsidP="00000000" w:rsidRDefault="00000000" w:rsidRPr="00000000" w14:paraId="00000030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Skażenie oka: podrażnienie, zaczerwienienie, łzawienie, pieczenie. Skażenie skóry: podrażnienie, odczyny uczuleniowe. Narażenie inhalacyjne: bóle i/lub zawroty głowy, może działać drażniąco na błony śluzowe i górne drogi oddechowe. Po spożyciu: nudności, wymioty, biegunka.</w:t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4.3. Wskazania dotyczące wszelkiej natychmiastowej pomocy lekarskiej i szczególnego postępowania z poszkodowanym:</w:t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Wskazówki dla osób udzielających pierwszej pomocy: Antidotum: brak. Stosować leczenie objawowe. Skontaktuj się z najbliższym ośrodkiem </w:t>
        <w:tab/>
        <w:t xml:space="preserve">toksykologicznym (patrz sekcja. 16 karty).</w:t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5. POSTĘPOWANIE W PRZYPADKU POŻARU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5.1. Środki gaśnicze: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Zalecane środki gaśnicze: Rozpylona woda, proszek gaśniczy, piana, dwutlenek węgla (CO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sub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Niewłaściwe środki gaśnicze: Silny zwarty strumień wody</w:t>
      </w:r>
    </w:p>
    <w:p w:rsidR="00000000" w:rsidDel="00000000" w:rsidP="00000000" w:rsidRDefault="00000000" w:rsidRPr="00000000" w14:paraId="00000038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5.2. Szczególne zagrożenia związane z mieszaniną:</w:t>
      </w:r>
    </w:p>
    <w:p w:rsidR="00000000" w:rsidDel="00000000" w:rsidP="00000000" w:rsidRDefault="00000000" w:rsidRPr="00000000" w14:paraId="0000003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Niebezpieczne produkty rozkładu: Rozkład termiczny: dwutlenek węgla.</w:t>
      </w:r>
    </w:p>
    <w:p w:rsidR="00000000" w:rsidDel="00000000" w:rsidP="00000000" w:rsidRDefault="00000000" w:rsidRPr="00000000" w14:paraId="0000003A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5.3. Informacje dla straży pożarnej.</w:t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Specjalistyczny sprzęt ochronny: Zawsze stosować ubranie ochronne i aparaty oddechowe umożliwiające oddychanie niezależnie od lokalnej atmosfery. </w:t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6. POSTĘPOWANIE W PRZYPADKU NIEZAMIERZONEGO UWOLNIENIA DO ŚRODOWISKA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6.1.Indywidualne środki ostrożności, wyposażenie ochronne i procedury w sytuacjach awaryjnych</w:t>
      </w:r>
    </w:p>
    <w:p w:rsidR="00000000" w:rsidDel="00000000" w:rsidP="00000000" w:rsidRDefault="00000000" w:rsidRPr="00000000" w14:paraId="0000003F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Przystąpienie do usuwania uwolnionego produktu powinno być poprzedzone zapewnieniem skutecznej wentylacji/wietrzenia i założeniem środków ochrony indywidualnej (patrz sekcja 8). Nie wdychać oparów. Nie palić papierosów. Unikać bezpośredniego kontaktu preparatu ze skórą i oczami. Osoby biorące udział przy likwidowaniu awarii wyposażyć w odzież ochronną, rękawice, maski całotwarzowe z filtrem wymienione w sekcji 8 z zastosowaniem klasy ochrony adekwatnej do natężenia czynnika zagrożenia.</w:t>
      </w:r>
    </w:p>
    <w:p w:rsidR="00000000" w:rsidDel="00000000" w:rsidP="00000000" w:rsidRDefault="00000000" w:rsidRPr="00000000" w14:paraId="00000040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6.2. Środki ostrożności w zakresie ochrony środowiska:</w:t>
      </w:r>
    </w:p>
    <w:p w:rsidR="00000000" w:rsidDel="00000000" w:rsidP="00000000" w:rsidRDefault="00000000" w:rsidRPr="00000000" w14:paraId="00000041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Nie dopuścić do przedostania się produktu do kanalizacji, wód gruntowych i powierzchniowych. W  przypadku skażenia wód powiadomić odpowiednie władze.</w:t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6.3. Metody i materiały zapobiegania rozprzestrzenianiu się skażenia i służące do usuwania skażenia:</w:t>
      </w:r>
    </w:p>
    <w:p w:rsidR="00000000" w:rsidDel="00000000" w:rsidP="00000000" w:rsidRDefault="00000000" w:rsidRPr="00000000" w14:paraId="00000043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Nie dopuścić do przedostania się produktu do kanalizacji, wód gruntowych i powierzchniowych poprzez obwałowanie terenu i studzienek kanalizacyjnych np. workami z piaskiem. W przypadku skażenia wód powiadomić służby ratunkowe. Przystąpić do usuwania wycieku, o ile nie zagraża to zdrowiu i życiu ludzi. Obwałować teren. Przysypać rozlaną ciecz materiałem chłonnym (np. piasek, trociny, ziemia). Jeśli to możliwe pompować rozlaną ciecz do pojemników awaryjnych. Zebrać i przekazać do utylizacji.</w:t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6.4. Odniesienia do innych sekcji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</w:t>
      </w:r>
    </w:p>
    <w:p w:rsidR="00000000" w:rsidDel="00000000" w:rsidP="00000000" w:rsidRDefault="00000000" w:rsidRPr="00000000" w14:paraId="00000045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Zebraną mieszaninę z sorbentem utylizować zgodnie z informacjami zawartymi w sekcji 13. Parametry graniczne dotyczące kontroli na stanowisku pracy podano w sekcji 8.</w:t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7. POSTĘPOWANIE Z MIESZANINAMI ORAZ ICH MAGAZYNOWANIE   </w:t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7.1. Środki ostrożności dotyczące bezpiecznego postępowania:</w:t>
      </w:r>
    </w:p>
    <w:p w:rsidR="00000000" w:rsidDel="00000000" w:rsidP="00000000" w:rsidRDefault="00000000" w:rsidRPr="00000000" w14:paraId="00000049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Podczas pracy z preparatem wewnątrz pomieszczeń należy zapewnić skuteczną wymianę powietrza. Przestrzegać zasad higieny osobistej, stosować odzież i sprzęt  ochronny. Nie jeść, nie pić, nie palić na stanowisku pracy unikać narażenia na działanie oparów  produktu i rozpylonej cieczy oraz bezpośredniego kontaktu preparatu z oczami, skórą i ustami. Stosować się do instrukcji i sposobu użycia, umieszczonej na etykiecie.</w:t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7.2. Warunki bezpiecznego magazynowania, łącznie z informacjami dotyczącymi wszelkich wzajemnych niezgodności</w:t>
      </w:r>
    </w:p>
    <w:p w:rsidR="00000000" w:rsidDel="00000000" w:rsidP="00000000" w:rsidRDefault="00000000" w:rsidRPr="00000000" w14:paraId="0000004B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Preparat należy przechowywać w szczelnie zamkniętych, oryginalnych opakowaniach, w suchych i przewiewnych magazynach, odpowiadających obowiązującym przepisom w zakresie bezpieczeństwa i ochrony przeciwpożarowej, w temperaturze od 0˚C do 30˚C z dala od źródeł ciepła i otwartego ognia. Produktu nie składować w pobliżu produktów spożywczych, pasz i naczyń na żywność. Składować w miejscach niedostępnych dla dzieci i osób niepowołanych. Przestrzegać ogólnych zasad BHP i p.poż.</w:t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7.3. Szczególne zastosowanie końcowe:</w:t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Przestrzegać informacji zawartych w treści etykiety produktu. Przed użyciem wstrząsnąć. Opryskiwać miejsca występowania ptaków, pozostawić do wyschnięcia. Nie stosować bezpośrednio </w:t>
        <w:tab/>
        <w:t xml:space="preserve">przed opadem deszczu, jeśli deszcz wystąpi  przed wyschnięciem preparatu, zabieg należy powtórzyć.</w:t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36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8. KONTROLA NARAŻENIA I ŚRODKI OCHRONY INDYWIDUALNEJ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8.1. Parametry dotyczące kontroli:</w:t>
      </w:r>
    </w:p>
    <w:p w:rsidR="00000000" w:rsidDel="00000000" w:rsidP="00000000" w:rsidRDefault="00000000" w:rsidRPr="00000000" w14:paraId="00000051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Rozporządzenie Ministra Pracy i Polityki Społecznej z dnia 12 czerwca 2018 r. w sprawie najwyższych</w:t>
      </w:r>
    </w:p>
    <w:p w:rsidR="00000000" w:rsidDel="00000000" w:rsidP="00000000" w:rsidRDefault="00000000" w:rsidRPr="00000000" w14:paraId="00000052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dopuszczalnych stężeń i natężeń czynników szkodliwych dla zdrowia w środowisku pracy (Dz. U. 2018, poz. 1286 oraz Dz.U. 2021 poz. 325, z późn. zmianami)</w:t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8.2. Kontrola narażenia:</w:t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8.2.1 Stosować techniczne środki kontroli:</w:t>
      </w:r>
      <w:r w:rsidDel="00000000" w:rsidR="00000000" w:rsidRPr="00000000">
        <w:rPr>
          <w:rFonts w:ascii="Arial" w:cs="Arial" w:eastAsia="Arial" w:hAnsi="Arial"/>
          <w:sz w:val="20"/>
          <w:szCs w:val="20"/>
          <w:u w:val="none"/>
          <w:rtl w:val="0"/>
        </w:rPr>
        <w:t xml:space="preserve"> zapewnić odpowiednią wentylację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8.2.2.Indywidualny sprzęt ochronny taki jak środki ochrony indywidualnej</w:t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a) Ochrona oczu lub twarzy: przy wielokrotnym lub długotrwałym użyciu zaleca się stosowanie okularów ochronnych</w:t>
      </w:r>
    </w:p>
    <w:p w:rsidR="00000000" w:rsidDel="00000000" w:rsidP="00000000" w:rsidRDefault="00000000" w:rsidRPr="00000000" w14:paraId="00000057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b) Ochrona skóry: ochrona rąk: przy wielokrotnym lub długotrwałym użyciu zaleca się stosowanie rękawic ochronnych z nitrylu o grubości min 0,1mm i odpowiadające min 2 poziomowi skuteczności ochrony (czas przebicia&gt;30min) wg normy EN 374. Każdorazowo po kontakcie ze środkiem umyć ręce wodą z mydłem. W przypadku konieczności umyć całe ciało.</w:t>
      </w:r>
    </w:p>
    <w:p w:rsidR="00000000" w:rsidDel="00000000" w:rsidP="00000000" w:rsidRDefault="00000000" w:rsidRPr="00000000" w14:paraId="00000058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c) Ochrona dróg oddechowych: nie wdychać par preparatu.</w:t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d) Zagrożenia termiczne: chronić przed wysoką temperaturą i ogniem </w:t>
      </w:r>
    </w:p>
    <w:p w:rsidR="00000000" w:rsidDel="00000000" w:rsidP="00000000" w:rsidRDefault="00000000" w:rsidRPr="00000000" w14:paraId="0000005A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8.2.3. Kontrola narażenia środowiska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Postępowanie zgodne z treścią etykiety produktu zapewnia spełnienie wymagań wynikających ze wspólnego prawodawstwa dotyczącego ochrony środowiska.</w:t>
      </w:r>
    </w:p>
    <w:p w:rsidR="00000000" w:rsidDel="00000000" w:rsidP="00000000" w:rsidRDefault="00000000" w:rsidRPr="00000000" w14:paraId="0000005B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5C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9. WŁAŚCIWOŚCI FIZYCZNE I CHEMICZNE  </w:t>
      </w:r>
    </w:p>
    <w:p w:rsidR="00000000" w:rsidDel="00000000" w:rsidP="00000000" w:rsidRDefault="00000000" w:rsidRPr="00000000" w14:paraId="0000005D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9.1. Informacje na temat podstawowych właściwości fizycznych i chemicznych</w:t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a) Stan skupienia – ciecz </w:t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b) Kolor - bezbarwny</w:t>
      </w:r>
    </w:p>
    <w:p w:rsidR="00000000" w:rsidDel="00000000" w:rsidP="00000000" w:rsidRDefault="00000000" w:rsidRPr="00000000" w14:paraId="0000006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c)Zapach - charakterystyczny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d) Temperatura topnienia/krzepnięcia – Brak danych.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e) Temperatura wrzenia lub początkowa temperatura wrzenia i zakres temperatur wrzenia – Brak danych.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f) Palność materiałów – Brak danych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g) Dolna i górna granica wybuchowości – Brak danych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h) Temperatura zapłonu – Brak danych.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i) Temperatura samozapłonu – Brak danych.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j) Temperatura rozkładu – Brak danych.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k) pH – Brak danych.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l) Lepkość kinematyczna – Brak danych.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m) Rozpuszczalność – Brak danych.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n) Współczynnik podziału n-oktanol/woda (wartość współczynnika log) – Brak danych.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o) Prężność pary – Brak danych.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p) Gęstość lub gęstość względna – 0,800 g/cm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(roztwór podstawowy).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q) Względna gęstość pary – Brak danych.</w:t>
      </w:r>
    </w:p>
    <w:p w:rsidR="00000000" w:rsidDel="00000000" w:rsidP="00000000" w:rsidRDefault="00000000" w:rsidRPr="00000000" w14:paraId="0000006F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r) Charakterystyka cząsteczek – Brak danych.</w:t>
      </w:r>
    </w:p>
    <w:p w:rsidR="00000000" w:rsidDel="00000000" w:rsidP="00000000" w:rsidRDefault="00000000" w:rsidRPr="00000000" w14:paraId="00000070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9.2. Inne informacje:</w:t>
      </w:r>
    </w:p>
    <w:p w:rsidR="00000000" w:rsidDel="00000000" w:rsidP="00000000" w:rsidRDefault="00000000" w:rsidRPr="00000000" w14:paraId="00000071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Brak wyników badań dodatkowych.</w:t>
      </w:r>
    </w:p>
    <w:p w:rsidR="00000000" w:rsidDel="00000000" w:rsidP="00000000" w:rsidRDefault="00000000" w:rsidRPr="00000000" w14:paraId="00000072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10. STABILNOŚĆ I REAKTYWNOŚĆ</w:t>
      </w:r>
    </w:p>
    <w:p w:rsidR="00000000" w:rsidDel="00000000" w:rsidP="00000000" w:rsidRDefault="00000000" w:rsidRPr="00000000" w14:paraId="00000074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10.1. Reaktywność: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  <w:tab/>
        <w:tab/>
        <w:t xml:space="preserve">nie jest znana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10.2.Stabilność chemiczna: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 xml:space="preserve">Produkt stabilny w normalnych warunkach stosowania i przechowywania.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10.3. Możliwość występowania niebezpiecznych reakcji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Nie są znane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10.4. Warunki, których należy unikać: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otwarty ogień, światło słoneczne.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10.5. Materiały niezgodne: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nie są znane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10.6. Niebezpieczne produkty rozkładu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nie są znane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11. INFORMACJE TOKSYKOLOGICZNE</w:t>
      </w:r>
    </w:p>
    <w:p w:rsidR="00000000" w:rsidDel="00000000" w:rsidP="00000000" w:rsidRDefault="00000000" w:rsidRPr="00000000" w14:paraId="0000007B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11.1. Informacje dotyczące skutków toksykologicznych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Brak badań toksykologicznych dla mieszaniny (dane lit.)</w:t>
      </w:r>
    </w:p>
    <w:p w:rsidR="00000000" w:rsidDel="00000000" w:rsidP="00000000" w:rsidRDefault="00000000" w:rsidRPr="00000000" w14:paraId="0000007D">
      <w:pPr>
        <w:spacing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Toksyczność ostra: </w:t>
        <w:tab/>
        <w:t xml:space="preserve">Nie prowadzono badań własnych dla mieszaniny</w:t>
      </w:r>
    </w:p>
    <w:p w:rsidR="00000000" w:rsidDel="00000000" w:rsidP="00000000" w:rsidRDefault="00000000" w:rsidRPr="00000000" w14:paraId="0000007E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Działanie drażniące: </w:t>
        <w:tab/>
        <w:t xml:space="preserve">Nie prowadzono badań własnych dla mieszaniny, Mieszanina sklasyfikowana jako działająca drażniąco na oczy i na skórę, na podstawie składu.</w:t>
      </w:r>
    </w:p>
    <w:p w:rsidR="00000000" w:rsidDel="00000000" w:rsidP="00000000" w:rsidRDefault="00000000" w:rsidRPr="00000000" w14:paraId="0000007F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Działanie żrące: </w:t>
        <w:tab/>
        <w:t xml:space="preserve">Nie dotyczy (nie zawiera składników o działaniu żrącym)</w:t>
      </w:r>
    </w:p>
    <w:p w:rsidR="00000000" w:rsidDel="00000000" w:rsidP="00000000" w:rsidRDefault="00000000" w:rsidRPr="00000000" w14:paraId="00000080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Działanie uczulające:</w:t>
        <w:tab/>
        <w:t xml:space="preserve">Nie prowadzono badań własnych dla mieszaniny. Nie klasyfikuje się na podstawie zawartości poszczególnych składników mieszaniny</w:t>
      </w:r>
    </w:p>
    <w:p w:rsidR="00000000" w:rsidDel="00000000" w:rsidP="00000000" w:rsidRDefault="00000000" w:rsidRPr="00000000" w14:paraId="00000081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Toksyczność dla dawki powtarzalnej: Nie prowadzono badań własnych dla mieszaniny</w:t>
      </w:r>
    </w:p>
    <w:p w:rsidR="00000000" w:rsidDel="00000000" w:rsidP="00000000" w:rsidRDefault="00000000" w:rsidRPr="00000000" w14:paraId="00000082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Rakotwórczość: Nie prowadzono badań własnych dla mieszaniny. Żaden ze </w:t>
        <w:tab/>
        <w:tab/>
        <w:tab/>
        <w:tab/>
        <w:tab/>
        <w:tab/>
        <w:t xml:space="preserve">składników mieszaniny nie został sklasyfikowany jako rakotwórczy.</w:t>
      </w:r>
    </w:p>
    <w:p w:rsidR="00000000" w:rsidDel="00000000" w:rsidP="00000000" w:rsidRDefault="00000000" w:rsidRPr="00000000" w14:paraId="00000083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Mutagenność:</w:t>
        <w:tab/>
        <w:t xml:space="preserve">Nie prowadzono badań własnych dla mieszaniny.  Żaden ze składników mieszaniny nie  </w:t>
        <w:tab/>
        <w:tab/>
        <w:t xml:space="preserve">został sklasyfikowany jako mutagenny.</w:t>
      </w:r>
    </w:p>
    <w:p w:rsidR="00000000" w:rsidDel="00000000" w:rsidP="00000000" w:rsidRDefault="00000000" w:rsidRPr="00000000" w14:paraId="00000084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Szkodliwe działanie na rozrodczość:  Nie prowadzono badań własnych dla mieszaniny. Żaden ze </w:t>
        <w:tab/>
        <w:tab/>
        <w:tab/>
        <w:t xml:space="preserve">składników mieszaniny nie został sklasyfikowany jako działający szkodliwie na rozrodczość.</w:t>
      </w:r>
    </w:p>
    <w:p w:rsidR="00000000" w:rsidDel="00000000" w:rsidP="00000000" w:rsidRDefault="00000000" w:rsidRPr="00000000" w14:paraId="00000085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11.2. Informacje  innych zagrożeniach: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Produkt nie zawiera składników wpisanych do wykazu ustanowionego zgodnie z art. 59 ust.1 jako posiadające właściwości zaburzające funkcjonowanie układu hormonalnego ani składników o właściwościach zaburzających funkcjonowanie układu hormonalnego zgodnie z kryteriami określonymi w rozporządzeniu 2017/2100/UE lub rozporządzeniu 2018/605/UE w stężeniu równym lub większym od 0,1%.</w:t>
      </w:r>
    </w:p>
    <w:p w:rsidR="00000000" w:rsidDel="00000000" w:rsidP="00000000" w:rsidRDefault="00000000" w:rsidRPr="00000000" w14:paraId="00000086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12. INFORMACJE EKOLOGICZNE</w:t>
      </w:r>
    </w:p>
    <w:p w:rsidR="00000000" w:rsidDel="00000000" w:rsidP="00000000" w:rsidRDefault="00000000" w:rsidRPr="00000000" w14:paraId="00000087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12.1. Toksyczność: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Nie prowadzono badań własnych dotyczących wpływu mieszaniny na środowisko. Preparat nie jest sklasyfikowany jako niebezpieczny dla środowiska. Nie należy dopuszczać do przedostania się preparatu do środowiska.</w:t>
      </w:r>
    </w:p>
    <w:p w:rsidR="00000000" w:rsidDel="00000000" w:rsidP="00000000" w:rsidRDefault="00000000" w:rsidRPr="00000000" w14:paraId="00000088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12.2. Trwałość i zdolność do rozkładu: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  <w:tab/>
        <w:t xml:space="preserve">Nie prowadzono badań własnych dla mieszaniny.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12.3. Zdolność do biokumulacji: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Nie prowadzono badań własnych dla mieszaniny.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12.4. Mobilność w glebie: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Nie prowadzono badań własnych dla mieszaniny.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12.5. Wyniki oceny właściwości PBT i vPvB: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Nie dotyczy. Nie prowadzono badań własnych mieszaniny pod </w:t>
        <w:tab/>
        <w:t xml:space="preserve">kątem oceny PBT, vPvB. Żaden ze składników mieszaniny nie został oceniony jako PBT i vPvB.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12.6. Właściwości zaburzające funkcjonowanie układu hormonalnego:</w:t>
      </w:r>
      <w:r w:rsidDel="00000000" w:rsidR="00000000" w:rsidRPr="00000000">
        <w:rPr>
          <w:rFonts w:ascii="Arial" w:cs="Arial" w:eastAsia="Arial" w:hAnsi="Arial"/>
          <w:sz w:val="20"/>
          <w:szCs w:val="20"/>
          <w:u w:val="no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color w:val="000000"/>
          <w:sz w:val="20"/>
          <w:szCs w:val="20"/>
          <w:u w:val="none"/>
          <w:rtl w:val="0"/>
        </w:rPr>
        <w:t xml:space="preserve">Produkt nie zawiera składników wpisanych do wykazu ustanowionego zgodnie z art. 59 ust. 1 jako posiadające właściwości zaburzające funkcjonowanie układu hormonalnego ani składników o właściwościach zaburzających funkcjonowanie układu hormonalnego zgodnie z kryteriami określonymi w rozporządzeniu 2017/2100/UE lub rozporządzeniu 2018/605/UE w stężeniu równym lub większym od 0,1%.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bottom w:color="000000" w:space="1" w:sz="8" w:val="single"/>
        </w:pBdr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12.7. Inne szkodliwe skutki działania: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nie są znane. Produkt nie wpływa na ocieplenie globalne i niszczenie warstwy ozonowej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13. POSTĘPOWANIE Z ODPADAMI</w:t>
      </w:r>
    </w:p>
    <w:p w:rsidR="00000000" w:rsidDel="00000000" w:rsidP="00000000" w:rsidRDefault="00000000" w:rsidRPr="00000000" w14:paraId="00000090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13.1. Metody unieszkodliwiania odpadów:</w:t>
      </w:r>
    </w:p>
    <w:p w:rsidR="00000000" w:rsidDel="00000000" w:rsidP="00000000" w:rsidRDefault="00000000" w:rsidRPr="00000000" w14:paraId="00000091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Postępowanie z produktem:</w:t>
      </w:r>
    </w:p>
    <w:p w:rsidR="00000000" w:rsidDel="00000000" w:rsidP="00000000" w:rsidRDefault="00000000" w:rsidRPr="00000000" w14:paraId="00000092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Odpady produktu mieszaniny: Nie usuwać do kanalizacji. Nie dopuszczać do zanieczyszczenia wód powierzchniowych, gruntowych i gleby.  Nie składować na wysypiskach komunalnych. </w:t>
      </w:r>
    </w:p>
    <w:p w:rsidR="00000000" w:rsidDel="00000000" w:rsidP="00000000" w:rsidRDefault="00000000" w:rsidRPr="00000000" w14:paraId="00000093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Kod odpadu: 07 04 99 Inne nie wymienione odpady</w:t>
      </w:r>
    </w:p>
    <w:p w:rsidR="00000000" w:rsidDel="00000000" w:rsidP="00000000" w:rsidRDefault="00000000" w:rsidRPr="00000000" w14:paraId="00000094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Postępowanie z opakowaniami: Należy </w:t>
        <w:tab/>
        <w:t xml:space="preserve">wyrzucać jedynie całkowicie opróżnione opakowania. Nie spalać opróżnionych opakowań we własnym zakresie. Zalecana metoda unieszkodliwiania pustych opakowań- zbiórka selektywna. Kod odpadu: 15 01 02 opakowania z tworzyw sztucznych</w:t>
      </w:r>
    </w:p>
    <w:p w:rsidR="00000000" w:rsidDel="00000000" w:rsidP="00000000" w:rsidRDefault="00000000" w:rsidRPr="00000000" w14:paraId="00000095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Klasyfikacja kodu odpadu i rodzaj zgodnie z Rozporządzeniem Ministra Klimatu z dnia 2 stycznia 2020 r. w sprawie katalogu odpadów (Dz.U. 2020 poz. 10, z późn. zm.).</w:t>
      </w:r>
    </w:p>
    <w:p w:rsidR="00000000" w:rsidDel="00000000" w:rsidP="00000000" w:rsidRDefault="00000000" w:rsidRPr="00000000" w14:paraId="00000096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Przestrzegać przepisów Ustawy z dnia 14 grudnia 2012 r. o odpadach (Dz.U. 2022 poz. 699, z późn. zm.)</w:t>
      </w:r>
    </w:p>
    <w:p w:rsidR="00000000" w:rsidDel="00000000" w:rsidP="00000000" w:rsidRDefault="00000000" w:rsidRPr="00000000" w14:paraId="00000097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Przestrzegać przepisów Ustawy z dnia 13 czerwca 2013 r. o gospodarce opakowaniami i odpadami opakowaniowymi (Dz.U. 2020 poz. 1114, z późn. zm.).</w:t>
      </w:r>
    </w:p>
    <w:p w:rsidR="00000000" w:rsidDel="00000000" w:rsidP="00000000" w:rsidRDefault="00000000" w:rsidRPr="00000000" w14:paraId="00000098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Dyrektywa Parlamentu Europejskiego i Rady: 2008/98/WE wraz z późn. zm. i 94/62/WE wraz z późn. zm.</w:t>
      </w:r>
    </w:p>
    <w:p w:rsidR="00000000" w:rsidDel="00000000" w:rsidP="00000000" w:rsidRDefault="00000000" w:rsidRPr="00000000" w14:paraId="00000099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14. INFORMACJE DOTYCZĄCE TRANSPORTU</w:t>
      </w:r>
    </w:p>
    <w:p w:rsidR="00000000" w:rsidDel="00000000" w:rsidP="00000000" w:rsidRDefault="00000000" w:rsidRPr="00000000" w14:paraId="0000009B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14.1. Numer UN lub nr identyfikacyjny ID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 xml:space="preserve">brak</w:t>
      </w:r>
    </w:p>
    <w:p w:rsidR="00000000" w:rsidDel="00000000" w:rsidP="00000000" w:rsidRDefault="00000000" w:rsidRPr="00000000" w14:paraId="0000009C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14.2. Prawidłowa nazwa przewozowa UN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  <w:tab/>
        <w:t xml:space="preserve">brak</w:t>
      </w:r>
    </w:p>
    <w:p w:rsidR="00000000" w:rsidDel="00000000" w:rsidP="00000000" w:rsidRDefault="00000000" w:rsidRPr="00000000" w14:paraId="0000009D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14.3. Klasa zagrożenia w transporcie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ab/>
        <w:t xml:space="preserve">brak</w:t>
      </w:r>
    </w:p>
    <w:p w:rsidR="00000000" w:rsidDel="00000000" w:rsidP="00000000" w:rsidRDefault="00000000" w:rsidRPr="00000000" w14:paraId="0000009E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14.4. Grupa pakowania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  <w:tab/>
        <w:tab/>
        <w:tab/>
        <w:tab/>
        <w:t xml:space="preserve">brak</w:t>
      </w:r>
    </w:p>
    <w:p w:rsidR="00000000" w:rsidDel="00000000" w:rsidP="00000000" w:rsidRDefault="00000000" w:rsidRPr="00000000" w14:paraId="0000009F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14.5. Zagrożenie dla środowiska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ab/>
        <w:t xml:space="preserve">nie stwarza zagrożenia </w:t>
      </w:r>
    </w:p>
    <w:p w:rsidR="00000000" w:rsidDel="00000000" w:rsidP="00000000" w:rsidRDefault="00000000" w:rsidRPr="00000000" w14:paraId="000000A0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14.6. Szczególne środki ostrożności dla użytkowników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  <w:tab/>
        <w:t xml:space="preserve">Przewozić krytymi środkami transportu. Opakowania transportowe i jednostki ładunkowe zabezpieczyć przed przemieszaniem się w czasie transportu. </w:t>
      </w:r>
    </w:p>
    <w:p w:rsidR="00000000" w:rsidDel="00000000" w:rsidP="00000000" w:rsidRDefault="00000000" w:rsidRPr="00000000" w14:paraId="000000A1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14.7. Transport morski </w:t>
      </w: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luzem zgodnie z instrumentami IMO: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  <w:t xml:space="preserve">Nie dotyczy, nie przewożony luzem</w:t>
      </w:r>
    </w:p>
    <w:p w:rsidR="00000000" w:rsidDel="00000000" w:rsidP="00000000" w:rsidRDefault="00000000" w:rsidRPr="00000000" w14:paraId="000000A2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15. INFORMACJE DOTYCZĄCE PRZEPISÓW PRAWNYCH</w:t>
      </w:r>
    </w:p>
    <w:p w:rsidR="00000000" w:rsidDel="00000000" w:rsidP="00000000" w:rsidRDefault="00000000" w:rsidRPr="00000000" w14:paraId="000000A4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15.1. Przepisy prawne dotyczące bezpieczeństwa, zdrowia i ochrony środowiska specyficzne dla substancji Polskie akty prawne: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Ustawa z dnia 25 lutego 2011 r. o substancjach chemicznych i ich mieszaninach (Dz.U. 2022 poz. 1816). Rozporządzenie Ministra Rodziny, Pracy i Polityki Społecznej z dnia 12 czerwca 2018 r. w sprawie najwyższych dopuszczalnych stężeń i natężeń czynników szkodliwych dla zdrowia w środowisku pracy (Dz. U. 2018, poz. 1286, wraz z późn. zm.).</w:t>
      </w:r>
    </w:p>
    <w:p w:rsidR="00000000" w:rsidDel="00000000" w:rsidP="00000000" w:rsidRDefault="00000000" w:rsidRPr="00000000" w14:paraId="000000A6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Ustawa z dnia 14 grudnia 2012 r. o odpadach (Dz.U. 2022 poz. 699, z późn. zm.)</w:t>
      </w:r>
    </w:p>
    <w:p w:rsidR="00000000" w:rsidDel="00000000" w:rsidP="00000000" w:rsidRDefault="00000000" w:rsidRPr="00000000" w14:paraId="000000A7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Ustawa z dnia 9 października 2015 r. o produktach biobójczych (Dz.U. 2015 poz. 1926, z późn. zm.)</w:t>
      </w:r>
    </w:p>
    <w:p w:rsidR="00000000" w:rsidDel="00000000" w:rsidP="00000000" w:rsidRDefault="00000000" w:rsidRPr="00000000" w14:paraId="000000A8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Ustawa z dnia 13 czerwca 2013 r. o gospodarce opakowaniami i odpadami opakowaniowymi (Dz.U. 2020 poz. 1114, z późniejszymi zmianami).</w:t>
      </w:r>
    </w:p>
    <w:p w:rsidR="00000000" w:rsidDel="00000000" w:rsidP="00000000" w:rsidRDefault="00000000" w:rsidRPr="00000000" w14:paraId="000000A9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Rozporządzeniem Ministra Klimatu z dnia 2 stycznia 2020 r. w sprawie katalogu odpadów (Dz.U. 2020 poz. 10, z późn. zm.).</w:t>
      </w:r>
    </w:p>
    <w:p w:rsidR="00000000" w:rsidDel="00000000" w:rsidP="00000000" w:rsidRDefault="00000000" w:rsidRPr="00000000" w14:paraId="000000AA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- Rozporządzenie Ministra Zdrowia z dnia 2 lutego 2011 r. w sprawie badań i pomiarów czynników </w:t>
      </w: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szkodliwych dla zdrowia w środowisku pracy (Dz. U. 2011, Nr 33, poz. 166, wraz z późn. zm.).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Umowa ADR dotycząca międzynarodowego przewozu drogowego towarów niebezpiecznych.</w:t>
      </w:r>
    </w:p>
    <w:p w:rsidR="00000000" w:rsidDel="00000000" w:rsidP="00000000" w:rsidRDefault="00000000" w:rsidRPr="00000000" w14:paraId="000000AC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IMDG Code International Maritime Dangerous Goods Code.</w:t>
      </w:r>
    </w:p>
    <w:p w:rsidR="00000000" w:rsidDel="00000000" w:rsidP="00000000" w:rsidRDefault="00000000" w:rsidRPr="00000000" w14:paraId="000000AD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IATA Dangerous Goods Regulations.</w:t>
      </w:r>
    </w:p>
    <w:p w:rsidR="00000000" w:rsidDel="00000000" w:rsidP="00000000" w:rsidRDefault="00000000" w:rsidRPr="00000000" w14:paraId="000000AE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1907/2006/WE Rozporządzenie Parlamentu Europejskiego i Rady z dnia 18 grudnia 2006 r. w sprawie rejestracji, oceny, udzielania zezwoleń i stosowanych ograniczeń w zakresie chemikaliów (REACH), utworzenia Europejskiej Agencji Chemikaliów, zmieniając dyrektywę 1999/45/WE oraz uchylając Rozporządzenie Rady (EWG) nr 793/93 i nr 1488/94, jak również dyrektywę Rady 76/769/EWG i dyrektywę Komisji 91/155/EWG, 93/67/EWG, 93/105/WE i 2000/21/WE wraz z późn. zm.</w:t>
      </w:r>
    </w:p>
    <w:p w:rsidR="00000000" w:rsidDel="00000000" w:rsidP="00000000" w:rsidRDefault="00000000" w:rsidRPr="00000000" w14:paraId="000000AF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1272/2008/WE Rozporządzenie Parlamentu Europejskiego i Rady z dnia 16 grudnia 2008 r. w sprawie klasyfikacji, oznakowania i pakowania substancji i mieszanin, zmieniające i uchylające dyrektywy 67/548/EWG i 1999/45/WE oraz zmieniające rozporządzenie (WE) nr 1907/2006 wraz z późn. zm.</w:t>
      </w:r>
    </w:p>
    <w:p w:rsidR="00000000" w:rsidDel="00000000" w:rsidP="00000000" w:rsidRDefault="00000000" w:rsidRPr="00000000" w14:paraId="000000B0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2020/878/UE Rozporządzenie Komisji z dnia 18 czerwca 2020 r. zmieniające załącznik II do rozporządzenia (WE) nr 1907/2006 Parlamentu Europejskiego i Rady w sprawie rejestracji, oceny, udzielania zezwoleń i stosowanych ograniczeń w zakresie chemikaliów.</w:t>
      </w:r>
    </w:p>
    <w:p w:rsidR="00000000" w:rsidDel="00000000" w:rsidP="00000000" w:rsidRDefault="00000000" w:rsidRPr="00000000" w14:paraId="000000B1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rtl w:val="0"/>
        </w:rPr>
        <w:t xml:space="preserve">2020/39/WE Dyrektywa Komisji z dnia 8 czerwca 2000 r. ustanawiająca pierwszą listę indykatywnych wartości granicznych narażenia na czynniki zewnętrzne podczas pracy w związku z wykonywaniem dyrektywy Rady 98/24/EWG w sprawie ochrony zdrowia i bezpieczeństwa pracowników przed ryzykiem związanym z czynnikami chemicznymi w miejscu pracy.</w:t>
      </w:r>
    </w:p>
    <w:p w:rsidR="00000000" w:rsidDel="00000000" w:rsidP="00000000" w:rsidRDefault="00000000" w:rsidRPr="00000000" w14:paraId="000000B2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2006/15/WE Dyrektywa Komisji z dnia 7 lutego 2006 r. ustanawiająca drugi wykaz indykatywnych dopuszczalnych wartości narażenia zawodowego w celu wykonania dyrektywy Rady 98/24/WE oraz zmieniająca dyrektywy 91/322/EWG i 2000/39/WE.</w:t>
      </w:r>
    </w:p>
    <w:p w:rsidR="00000000" w:rsidDel="00000000" w:rsidP="00000000" w:rsidRDefault="00000000" w:rsidRPr="00000000" w14:paraId="000000B3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2009/161/UE Dyrektywa Komisji z dnia 17 grudnia 2009 r. ustanawiająca trzeci wykaz wskaźników wartości narażenia zawodowego w celu wykonania dyrektywy Rady 98/24/WE oraz zmieniająca dyrektywę Komisji 2000/39/WE.</w:t>
      </w:r>
    </w:p>
    <w:p w:rsidR="00000000" w:rsidDel="00000000" w:rsidP="00000000" w:rsidRDefault="00000000" w:rsidRPr="00000000" w14:paraId="000000B4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2017/164/UE Dyrektywa Komisji z dnia 31 stycznia 2017 r. ustanawiająca czwarty wykaz wskaźnikowych dopuszczalnych wartości narażenia zawodowego zgodnie z dyrektywą Rady 98/24/WE oraz zmieniająca dyrektywy Komisji  91/322/EWG, 2000/39/WE i 2009/161/UE.</w:t>
      </w:r>
    </w:p>
    <w:p w:rsidR="00000000" w:rsidDel="00000000" w:rsidP="00000000" w:rsidRDefault="00000000" w:rsidRPr="00000000" w14:paraId="000000B5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2019/1831/UE Dyrektywa Komisji z dnia 24 października 2019 r. ustanawiająca piaty wykaz wskaźnikowych dopuszczalnych wartości narażenia zawodowego zgodnie z dyrektywą Rady 98/24/WE oraz zmieniajaca dyrektywę Komisji 2000/39/WE.</w:t>
      </w:r>
    </w:p>
    <w:p w:rsidR="00000000" w:rsidDel="00000000" w:rsidP="00000000" w:rsidRDefault="00000000" w:rsidRPr="00000000" w14:paraId="000000B6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2008/98/WE Dyrektywa Parlamentu Europejskiego i Rady `z dnia 19 listopada 2008 r. w sprawie odpadów oraz uchylająca niektóre dyrektywy wraz z późn. zm.</w:t>
      </w:r>
    </w:p>
    <w:p w:rsidR="00000000" w:rsidDel="00000000" w:rsidP="00000000" w:rsidRDefault="00000000" w:rsidRPr="00000000" w14:paraId="000000B7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94/62/WE Dyrektywa Parlamentu Europejskiego i Rady z dnia 20 grudnia 1994 r. w sprawie opakowań i odpadów opakowaniowych wraz z późn. zm.</w:t>
      </w:r>
    </w:p>
    <w:p w:rsidR="00000000" w:rsidDel="00000000" w:rsidP="00000000" w:rsidRDefault="00000000" w:rsidRPr="00000000" w14:paraId="000000B8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2016/425/UE Rozporządzenie parlamentu Europejskiego i Rady z dnia 9 marca 2016 r. w sprawie środków ochrony indywidualnej oraz uchylenia dyrektywy Rady 89/686/EWG.</w:t>
      </w:r>
    </w:p>
    <w:p w:rsidR="00000000" w:rsidDel="00000000" w:rsidP="00000000" w:rsidRDefault="00000000" w:rsidRPr="00000000" w14:paraId="000000B9">
      <w:pPr>
        <w:widowControl w:val="0"/>
        <w:ind w:left="0" w:right="0" w:firstLine="0"/>
        <w:jc w:val="both"/>
        <w:rPr>
          <w:rFonts w:ascii="Arial" w:cs="Arial" w:eastAsia="Arial" w:hAnsi="Arial"/>
          <w:b w:val="0"/>
          <w:bCs w:val="0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sz w:val="20"/>
          <w:szCs w:val="20"/>
          <w:u w:val="none"/>
          <w:rtl w:val="0"/>
        </w:rPr>
        <w:t xml:space="preserve">528/2012/UE Rozporządzenie Parlamentu Europejskiego  i Rady z dnia 22 maja 2012 r. w sprawie udostępniania na rynku i stosowania produktów biobójczych wraz z późn. zm.</w:t>
      </w:r>
    </w:p>
    <w:p w:rsidR="00000000" w:rsidDel="00000000" w:rsidP="00000000" w:rsidRDefault="00000000" w:rsidRPr="00000000" w14:paraId="000000BA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15.2. Ocena bezpieczeństwa chemicznego 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Nie dokonano oceny bezpieczeństwa chemicznego mieszaniny.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Bdr>
          <w:bottom w:color="000000" w:space="1" w:sz="8" w:val="single"/>
        </w:pBd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SEKCJA 16. INNE INFORMACJE</w:t>
      </w:r>
    </w:p>
    <w:p w:rsidR="00000000" w:rsidDel="00000000" w:rsidP="00000000" w:rsidRDefault="00000000" w:rsidRPr="00000000" w14:paraId="000000BC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Powyższe dane są opracowane w oparciu o bieżący stan wiedzy z uwzględnieniem aktualnie obowiązujących przepisów. Dane zawarte w karcie należy traktować wyłącznie jako pomoc dla bezpiecznego postępowania w transporcie, dystrybucji, stosowaniu i przechowywaniu. Użytkownik ponosi odpowiedzialność wynikającą z niewłaściwego wykorzystania informacji zawartych w Karcie lub niewłaściwego zastosowania produktu.</w:t>
      </w:r>
    </w:p>
    <w:p w:rsidR="00000000" w:rsidDel="00000000" w:rsidP="00000000" w:rsidRDefault="00000000" w:rsidRPr="00000000" w14:paraId="000000BD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16.1.Opis symboli i zwrotów zagrożenia:</w:t>
      </w:r>
    </w:p>
    <w:p w:rsidR="00000000" w:rsidDel="00000000" w:rsidP="00000000" w:rsidRDefault="00000000" w:rsidRPr="00000000" w14:paraId="000000BE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Oznakowanie CLP:</w:t>
      </w:r>
    </w:p>
    <w:p w:rsidR="00000000" w:rsidDel="00000000" w:rsidP="00000000" w:rsidRDefault="00000000" w:rsidRPr="00000000" w14:paraId="000000BF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Acute Tox.4</w:t>
        <w:tab/>
        <w:t xml:space="preserve">Toksyczność ostra kategorii 4</w:t>
      </w:r>
    </w:p>
    <w:p w:rsidR="00000000" w:rsidDel="00000000" w:rsidP="00000000" w:rsidRDefault="00000000" w:rsidRPr="00000000" w14:paraId="000000C0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Aquatic Chronic3 Działanie przewlekłe na organizmy wodne kat.3</w:t>
      </w:r>
    </w:p>
    <w:p w:rsidR="00000000" w:rsidDel="00000000" w:rsidP="00000000" w:rsidRDefault="00000000" w:rsidRPr="00000000" w14:paraId="000000C1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H302 Działa szkodliwie po połknięciu</w:t>
      </w:r>
    </w:p>
    <w:p w:rsidR="00000000" w:rsidDel="00000000" w:rsidP="00000000" w:rsidRDefault="00000000" w:rsidRPr="00000000" w14:paraId="000000C2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H317 Może powodować reakcję alergiczną skóry.</w:t>
      </w:r>
    </w:p>
    <w:p w:rsidR="00000000" w:rsidDel="00000000" w:rsidP="00000000" w:rsidRDefault="00000000" w:rsidRPr="00000000" w14:paraId="000000C3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16.3.Skróty i akronimy</w:t>
      </w:r>
    </w:p>
    <w:p w:rsidR="00000000" w:rsidDel="00000000" w:rsidP="00000000" w:rsidRDefault="00000000" w:rsidRPr="00000000" w14:paraId="000000C4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Klasyfikacja CLP – zgodnie z ROZPORZĄDZENIEM PARLAMENTU EUROPEJSKIEGO I RADY (WE) NR 1272/2008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m/m - masowo masowy</w:t>
      </w:r>
    </w:p>
    <w:p w:rsidR="00000000" w:rsidDel="00000000" w:rsidP="00000000" w:rsidRDefault="00000000" w:rsidRPr="00000000" w14:paraId="000000C6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Numer WE - tzn. EINECS, ELINCS lub NLP, jest oficjalnym numerem danej substancji w Unii Europejskiej</w:t>
      </w:r>
    </w:p>
    <w:p w:rsidR="00000000" w:rsidDel="00000000" w:rsidP="00000000" w:rsidRDefault="00000000" w:rsidRPr="00000000" w14:paraId="000000C7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Nr CAS - oznaczenie numeryczne przypisane substancji chemicznej przez amerykańską organizację Chemical Abstracts Service</w:t>
      </w:r>
    </w:p>
    <w:p w:rsidR="00000000" w:rsidDel="00000000" w:rsidP="00000000" w:rsidRDefault="00000000" w:rsidRPr="00000000" w14:paraId="000000C8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PBT – oznaczenie substancji trwałych, wykazujących zdolność do bioakumulacji i toksycznych</w:t>
      </w:r>
    </w:p>
    <w:p w:rsidR="00000000" w:rsidDel="00000000" w:rsidP="00000000" w:rsidRDefault="00000000" w:rsidRPr="00000000" w14:paraId="000000C9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vPvB - oznaczenie substancji bardzo trwałych, wykazujących bardzo dużą zdolność do bioakumulacji</w:t>
      </w:r>
    </w:p>
    <w:p w:rsidR="00000000" w:rsidDel="00000000" w:rsidP="00000000" w:rsidRDefault="00000000" w:rsidRPr="00000000" w14:paraId="000000CA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LD50 - dawka substancji, powodująca śmierć 50% badanej populacji.</w:t>
      </w:r>
    </w:p>
    <w:p w:rsidR="00000000" w:rsidDel="00000000" w:rsidP="00000000" w:rsidRDefault="00000000" w:rsidRPr="00000000" w14:paraId="000000CB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IC50 – stężenie powodujące inhibicję medialną</w:t>
      </w:r>
    </w:p>
    <w:p w:rsidR="00000000" w:rsidDel="00000000" w:rsidP="00000000" w:rsidRDefault="00000000" w:rsidRPr="00000000" w14:paraId="000000CC">
      <w:pPr>
        <w:widowControl w:val="0"/>
        <w:ind w:left="0" w:right="0" w:firstLine="0"/>
        <w:jc w:val="both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EC50- jest stężeniem, które według szacunków powoduje unieruchomienie 50% rozwielitek w podanym okresie ekspozycji.</w:t>
      </w:r>
    </w:p>
    <w:p w:rsidR="00000000" w:rsidDel="00000000" w:rsidP="00000000" w:rsidRDefault="00000000" w:rsidRPr="00000000" w14:paraId="000000CD">
      <w:pPr>
        <w:widowControl w:val="0"/>
        <w:ind w:left="0" w:right="0" w:firstLine="0"/>
        <w:jc w:val="both"/>
        <w:rPr>
          <w:rFonts w:ascii="Arial" w:cs="Arial" w:eastAsia="Arial" w:hAnsi="Arial"/>
          <w:sz w:val="16"/>
          <w:szCs w:val="16"/>
          <w:highlight w:val="white"/>
        </w:rPr>
      </w:pPr>
      <w:r w:rsidDel="00000000" w:rsidR="00000000" w:rsidRPr="00000000">
        <w:rPr>
          <w:rFonts w:ascii="Arial" w:cs="Arial" w:eastAsia="Arial" w:hAnsi="Arial"/>
          <w:sz w:val="16"/>
          <w:szCs w:val="16"/>
          <w:highlight w:val="white"/>
          <w:rtl w:val="0"/>
        </w:rPr>
        <w:t xml:space="preserve">m.c – masy ciała</w:t>
      </w:r>
    </w:p>
    <w:p w:rsidR="00000000" w:rsidDel="00000000" w:rsidP="00000000" w:rsidRDefault="00000000" w:rsidRPr="00000000" w14:paraId="000000CE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16.4.Niezbędne szkolenia:</w:t>
      </w:r>
    </w:p>
    <w:p w:rsidR="00000000" w:rsidDel="00000000" w:rsidP="00000000" w:rsidRDefault="00000000" w:rsidRPr="00000000" w14:paraId="000000CF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Występuje obowiązek niezbędnych szkoleń wynikających z przepisów – Kodeks Pracy.</w:t>
      </w:r>
    </w:p>
    <w:p w:rsidR="00000000" w:rsidDel="00000000" w:rsidP="00000000" w:rsidRDefault="00000000" w:rsidRPr="00000000" w14:paraId="000000D0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16.5.Zalecane ograniczenia w stosowaniu: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Stosować zgodnie z etykietą produktu.</w:t>
      </w:r>
    </w:p>
    <w:p w:rsidR="00000000" w:rsidDel="00000000" w:rsidP="00000000" w:rsidRDefault="00000000" w:rsidRPr="00000000" w14:paraId="000000D1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16.6.Informacje dodatkowe: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Dalsze informacje można uzyskać u producenta jak podano w pkt 1.3.</w:t>
      </w:r>
    </w:p>
    <w:p w:rsidR="00000000" w:rsidDel="00000000" w:rsidP="00000000" w:rsidRDefault="00000000" w:rsidRPr="00000000" w14:paraId="000000D2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16.7.Tel. Ośrodków toksykologicznych: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1) Niepubliczny Zakład Opieki Zdrowotnej Pomorskie Centrum Toksykologii, ul. Kartuska 4/6, 80-104 Gdańsk; właściwy do kontroli zatruć na terenie województwa pomorskiego, zachodniopomorskiego, warmińsko-mazurskiego oraz kujawsko-pomorskiego.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ind w:left="0" w:right="0" w:firstLine="0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2) Ośrodek Informacji Toksykologicznej Katedry Toksykologii i Chorób Środowiskowych</w:t>
      </w:r>
    </w:p>
    <w:p w:rsidR="00000000" w:rsidDel="00000000" w:rsidP="00000000" w:rsidRDefault="00000000" w:rsidRPr="00000000" w14:paraId="000000D4">
      <w:pPr>
        <w:widowControl w:val="0"/>
        <w:ind w:left="0" w:right="0" w:firstLine="0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Uniwersytet Jagielloński Collegium Medicum, ul. Śniadeckich 10; 31-531 Kraków; właściwy do kontroli zatruć na terenie województwa małopolskiego, podkarpackiego, śląskiego oraz świętokrzyskiego.</w:t>
      </w:r>
    </w:p>
    <w:p w:rsidR="00000000" w:rsidDel="00000000" w:rsidP="00000000" w:rsidRDefault="00000000" w:rsidRPr="00000000" w14:paraId="000000D5">
      <w:pPr>
        <w:widowControl w:val="0"/>
        <w:ind w:left="0" w:right="0" w:firstLine="0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3) Ośrodek Informacji Toksykologicznej Oddział Toksykologii im. dr Wandy Błeńskiej Szpital Miejski im. Franciszka Raszei, ul. Mickiewicza 2; 60-834 Poznań; właściwy do kontroli zatruć na terenie województwa wielkopolskiego, dolnośląskiego, lubuskiego oraz opolskiego</w:t>
      </w:r>
    </w:p>
    <w:p w:rsidR="00000000" w:rsidDel="00000000" w:rsidP="00000000" w:rsidRDefault="00000000" w:rsidRPr="00000000" w14:paraId="000000D6">
      <w:pPr>
        <w:widowControl w:val="0"/>
        <w:ind w:left="0" w:right="0" w:firstLine="0"/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4) Ośrodek Kontroli Zatruć – Warszawa, ul. Piłsudskiego 33; 05-074 Halinów; właściwy do kontroli zatruć na terenie województwa mazowieckiego, łódzkiego, podlaskiego oraz lubelskiego.</w:t>
      </w:r>
    </w:p>
    <w:p w:rsidR="00000000" w:rsidDel="00000000" w:rsidP="00000000" w:rsidRDefault="00000000" w:rsidRPr="00000000" w14:paraId="000000D7">
      <w:pPr>
        <w:pBdr>
          <w:bottom w:color="000000" w:space="1" w:sz="8" w:val="single"/>
        </w:pBd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Aktualizacja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10.03.2026r.</w:t>
      </w:r>
    </w:p>
    <w:sectPr>
      <w:headerReference r:id="rId6" w:type="default"/>
      <w:footerReference r:id="rId7" w:type="default"/>
      <w:pgSz w:h="16838" w:w="11906" w:orient="portrait"/>
      <w:pgMar w:bottom="839" w:top="1475" w:left="1134" w:right="1134" w:header="284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-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rPr/>
    </w:pPr>
    <w:r w:rsidDel="00000000" w:rsidR="00000000" w:rsidRPr="00000000">
      <w:rPr>
        <w:rFonts w:ascii="Arial" w:cs="Arial" w:eastAsia="Arial" w:hAnsi="Arial"/>
        <w:b w:val="1"/>
        <w:bCs w:val="1"/>
        <w:color w:val="000080"/>
        <w:sz w:val="30"/>
        <w:szCs w:val="30"/>
        <w:rtl w:val="0"/>
      </w:rPr>
      <w:tab/>
      <w:tab/>
      <w:tab/>
      <w:t xml:space="preserve">        </w:t>
      <w:tab/>
      <w:t xml:space="preserve">  </w:t>
      <w:tab/>
      <w:tab/>
      <w:tab/>
      <w:tab/>
      <w:t xml:space="preserve">  </w:t>
    </w:r>
    <w:r w:rsidDel="00000000" w:rsidR="00000000" w:rsidRPr="00000000">
      <w:rPr>
        <w:rFonts w:ascii="Arial" w:cs="Arial" w:eastAsia="Arial" w:hAnsi="Arial"/>
        <w:b w:val="1"/>
        <w:bCs w:val="1"/>
        <w:u w:val="single"/>
        <w:rtl w:val="0"/>
      </w:rPr>
      <w:t xml:space="preserve">Gołąb atomizer 500ml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9">
    <w:pPr>
      <w:jc w:val="center"/>
      <w:rPr>
        <w:rFonts w:ascii="Arial" w:cs="Arial" w:eastAsia="Arial" w:hAnsi="Arial"/>
        <w:b w:val="1"/>
        <w:bCs w:val="1"/>
        <w:sz w:val="12"/>
        <w:szCs w:val="1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A">
    <w:pPr>
      <w:rPr/>
    </w:pPr>
    <w:r w:rsidDel="00000000" w:rsidR="00000000" w:rsidRPr="00000000">
      <w:rPr>
        <w:rFonts w:ascii="Arial" w:cs="Arial" w:eastAsia="Arial" w:hAnsi="Arial"/>
        <w:b w:val="1"/>
        <w:bCs w:val="1"/>
        <w:color w:val="000080"/>
        <w:rtl w:val="0"/>
      </w:rPr>
      <w:t xml:space="preserve">     </w:t>
    </w:r>
    <w:r w:rsidDel="00000000" w:rsidR="00000000" w:rsidRPr="00000000">
      <w:rPr>
        <w:rFonts w:ascii="Arial" w:cs="Arial" w:eastAsia="Arial" w:hAnsi="Arial"/>
        <w:b w:val="0"/>
        <w:bCs w:val="0"/>
        <w:color w:val="000000"/>
        <w:sz w:val="14"/>
        <w:szCs w:val="14"/>
        <w:u w:val="none"/>
        <w:rtl w:val="0"/>
      </w:rPr>
      <w:t xml:space="preserve">Sporządzona zgodnie z rozporządzeniem WE </w:t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color w:val="000000"/>
        <w:sz w:val="14"/>
        <w:szCs w:val="14"/>
        <w:u w:val="none"/>
        <w:rtl w:val="0"/>
      </w:rPr>
      <w:t xml:space="preserve">2020/878/UE z dnia 18 czerwca 2020 r. zmieniające załącznik II do rozporządzenia (WE) nr 1907/2006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B">
    <w:pPr>
      <w:jc w:val="left"/>
      <w:rPr/>
    </w:pPr>
    <w:r w:rsidDel="00000000" w:rsidR="00000000" w:rsidRPr="00000000">
      <w:rPr>
        <w:rFonts w:ascii="Arial" w:cs="Arial" w:eastAsia="Arial" w:hAnsi="Arial"/>
        <w:sz w:val="16"/>
        <w:szCs w:val="16"/>
        <w:rtl w:val="0"/>
      </w:rPr>
      <w:tab/>
      <w:tab/>
      <w:tab/>
      <w:tab/>
      <w:t xml:space="preserve">  </w:t>
      <w:tab/>
      <w:tab/>
      <w:tab/>
      <w:t xml:space="preserve">                </w:t>
    </w:r>
    <w:r w:rsidDel="00000000" w:rsidR="00000000" w:rsidRPr="00000000">
      <w:rPr>
        <w:rFonts w:ascii="Arial" w:cs="Arial" w:eastAsia="Arial" w:hAnsi="Arial"/>
        <w:sz w:val="14"/>
        <w:szCs w:val="14"/>
        <w:rtl w:val="0"/>
      </w:rPr>
      <w:t xml:space="preserve">Data opracowania: 01.06.2024, data aktualizacji: 10.03.2026r.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C">
    <w:pPr>
      <w:jc w:val="left"/>
      <w:rPr/>
    </w:pPr>
    <w:r w:rsidDel="00000000" w:rsidR="00000000" w:rsidRPr="00000000">
      <w:rPr>
        <w:rFonts w:ascii="Arial" w:cs="Arial" w:eastAsia="Arial" w:hAnsi="Arial"/>
        <w:rtl w:val="0"/>
      </w:rPr>
      <w:t xml:space="preserve">                                                                                                     </w:t>
    </w:r>
    <w:r w:rsidDel="00000000" w:rsidR="00000000" w:rsidRPr="00000000">
      <w:rPr>
        <w:rFonts w:ascii="Arial" w:cs="Arial" w:eastAsia="Arial" w:hAnsi="Arial"/>
        <w:b w:val="1"/>
        <w:bCs w:val="1"/>
        <w:sz w:val="21"/>
        <w:szCs w:val="21"/>
        <w:rtl w:val="0"/>
      </w:rPr>
      <w:t xml:space="preserve">KARTA CHARAKTERYSTYKI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-P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120" w:before="240" w:lineRule="auto"/>
      <w:ind w:left="432" w:hanging="432"/>
    </w:pPr>
    <w:rPr>
      <w:rFonts w:ascii="Arial" w:cs="Arial" w:eastAsia="Arial" w:hAnsi="Arial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120" w:before="240" w:lineRule="auto"/>
      <w:ind w:left="720" w:hanging="720"/>
    </w:pPr>
    <w:rPr>
      <w:rFonts w:ascii="Times New Roman" w:cs="Times New Roman" w:eastAsia="Times New Roman" w:hAnsi="Times New Roman"/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